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SG_VERWALTUNGSGERICHT B 2017/257 vom 6. Dezember 2017</w:t>
      </w:r>
    </w:p>
    <w:p>
      <w:r>
        <w:t>Sg Verwaltungsgericht, 2017-12-06, DE</w:t>
      </w:r>
    </w:p>
    <w:p>
      <w:r>
        <w:rPr>
          <w:b/>
        </w:rPr>
        <w:t xml:space="preserve">Quelle: </w:t>
      </w:r>
      <w:r>
        <w:t>https://mcp.opencaselaw.ch/entscheid/sg_publikationen_B 2017_257</w:t>
      </w:r>
    </w:p>
    <w:p>
      <w:r>
        <w:t>FR: SG_VERWALTUNGSGERICHT B 2017/257 du 6 décembre 2017</w:t>
      </w:r>
    </w:p>
    <w:p>
      <w:r>
        <w:t>IT: SG_VERWALTUNGSGERICHT B 2017/257 del 6 dicembre 2017</w:t>
      </w:r>
    </w:p>
    <w:p>
      <w:pPr>
        <w:pStyle w:val="Heading2"/>
      </w:pPr>
      <w:r>
        <w:t>Regeste</w:t>
      </w:r>
    </w:p>
    <w:p>
      <w:r>
        <w:t>Steuerrecht, Art. 95 und 98 VRP.Verlegung der Kosten und Festsetzung der ausseramtlichen Entschädigung nach Rückweisung der Angelegenheit durch das Bundesgericht (Verwaltungsgericht, B 2017/257).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Bundesgericht hat mit dem Urteil vom 6. Dezember 2017 den – im Vergleich mit dem kantonalen Verfahren unveränderten – Anträgen des beschwerdeführenden Amtes entsprochen und dessen Einspracheentscheid vom 21. November 2014 bestätigt. Dementsprechend wären der Rekurs der Beschwerdegegner abzuweisen und die Beschwerde des beschwerdeführenden Amtes gutzuheissen gewesen.</w:t>
      </w:r>
    </w:p>
    <w:p>
      <w:r>
        <w:rPr>
          <w:b/>
        </w:rPr>
        <w:t>E. 2</w:t>
      </w:r>
    </w:p>
    <w:p>
      <w:r>
        <w:t>Ausseramtliche Kosten werden weder im Rekurs- noch im kantonalen Beschwerdeverfahren entschädigt. Der Abteilungspräsident                    Der Gerichtsschreiber Eugster                                              Scherrer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